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2972" w14:textId="77777777" w:rsidR="0092626E" w:rsidRDefault="002A540B" w:rsidP="003342C1">
      <w:pPr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7A5AEB" wp14:editId="01FEBCD8">
            <wp:simplePos x="0" y="0"/>
            <wp:positionH relativeFrom="margin">
              <wp:posOffset>1981200</wp:posOffset>
            </wp:positionH>
            <wp:positionV relativeFrom="paragraph">
              <wp:posOffset>-115570</wp:posOffset>
            </wp:positionV>
            <wp:extent cx="314325" cy="668143"/>
            <wp:effectExtent l="0" t="0" r="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2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6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2C1">
        <w:rPr>
          <w:sz w:val="28"/>
          <w:szCs w:val="28"/>
        </w:rPr>
        <w:t xml:space="preserve">         </w:t>
      </w:r>
    </w:p>
    <w:p w14:paraId="5E35C09F" w14:textId="77777777" w:rsidR="009415AA" w:rsidRDefault="009415AA" w:rsidP="00D953F4">
      <w:pPr>
        <w:rPr>
          <w:sz w:val="28"/>
          <w:szCs w:val="28"/>
        </w:rPr>
      </w:pPr>
    </w:p>
    <w:p w14:paraId="4F2B752B" w14:textId="77777777" w:rsidR="0092626E" w:rsidRPr="00D953F4" w:rsidRDefault="00D953F4" w:rsidP="00D953F4">
      <w:pPr>
        <w:spacing w:line="240" w:lineRule="auto"/>
        <w:jc w:val="both"/>
        <w:rPr>
          <w:b/>
          <w:sz w:val="26"/>
          <w:szCs w:val="26"/>
        </w:rPr>
      </w:pPr>
      <w:r w:rsidRPr="00D953F4">
        <w:rPr>
          <w:b/>
          <w:sz w:val="26"/>
          <w:szCs w:val="26"/>
        </w:rPr>
        <w:t xml:space="preserve">Nowe regulacje prawne w zakresie zwalczania </w:t>
      </w:r>
      <w:proofErr w:type="spellStart"/>
      <w:r w:rsidRPr="00D953F4">
        <w:rPr>
          <w:b/>
          <w:sz w:val="26"/>
          <w:szCs w:val="26"/>
        </w:rPr>
        <w:t>agrofagów</w:t>
      </w:r>
      <w:proofErr w:type="spellEnd"/>
      <w:r w:rsidRPr="00D953F4">
        <w:rPr>
          <w:b/>
          <w:sz w:val="26"/>
          <w:szCs w:val="26"/>
        </w:rPr>
        <w:t xml:space="preserve"> kwarantannowych na ziemniaku oraz warunki przemieszczania polskich ziemniaków na terytorium Unii Europejskiej</w:t>
      </w:r>
    </w:p>
    <w:p w14:paraId="513AD18E" w14:textId="77777777" w:rsidR="009415AA" w:rsidRDefault="009415AA" w:rsidP="00242400">
      <w:pPr>
        <w:spacing w:after="0" w:line="240" w:lineRule="auto"/>
        <w:jc w:val="both"/>
      </w:pPr>
      <w:r>
        <w:t>W dniu 12 lipca 2022 r. zostały opublik</w:t>
      </w:r>
      <w:r w:rsidR="003A52C4">
        <w:t xml:space="preserve">owane w Dzienniku Urzędowym UE </w:t>
      </w:r>
      <w:r>
        <w:t xml:space="preserve"> rozporządzenia ustanawiające środki w celu zwalczania i zapobiegania rozprzestrzenianiu się </w:t>
      </w:r>
      <w:proofErr w:type="spellStart"/>
      <w:r>
        <w:t>agrofagów</w:t>
      </w:r>
      <w:proofErr w:type="spellEnd"/>
      <w:r>
        <w:t xml:space="preserve"> ziemniaka:</w:t>
      </w:r>
    </w:p>
    <w:p w14:paraId="588613BE" w14:textId="77777777" w:rsidR="00FA301C" w:rsidRPr="00FC7BDD" w:rsidRDefault="009C66D3" w:rsidP="00242400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 w:rsidRPr="00FC7BDD">
        <w:t>Rozporządzenie</w:t>
      </w:r>
      <w:r w:rsidR="00CF7B48" w:rsidRPr="00FC7BDD">
        <w:t xml:space="preserve"> W</w:t>
      </w:r>
      <w:r w:rsidR="00FA301C" w:rsidRPr="00FC7BDD">
        <w:t>ykonawcze Komisji (UE) 2022/1192</w:t>
      </w:r>
    </w:p>
    <w:p w14:paraId="2AB05417" w14:textId="77777777" w:rsidR="009C66D3" w:rsidRPr="00FC7BDD" w:rsidRDefault="009C66D3" w:rsidP="00242400">
      <w:pPr>
        <w:pStyle w:val="Akapitzlist"/>
        <w:spacing w:line="240" w:lineRule="auto"/>
        <w:ind w:left="360"/>
        <w:jc w:val="both"/>
      </w:pPr>
      <w:r w:rsidRPr="00FC7BDD">
        <w:t xml:space="preserve">z dnia 11 lipca 2022r. </w:t>
      </w:r>
      <w:r w:rsidRPr="00FC7BDD">
        <w:rPr>
          <w:bCs/>
        </w:rPr>
        <w:t xml:space="preserve">ustanawiające środki w celu zwalczania i zapobiegania rozprzestrzenianiu się </w:t>
      </w:r>
      <w:proofErr w:type="spellStart"/>
      <w:r w:rsidRPr="00FC7BDD">
        <w:rPr>
          <w:bCs/>
          <w:i/>
        </w:rPr>
        <w:t>Globodera</w:t>
      </w:r>
      <w:proofErr w:type="spellEnd"/>
      <w:r w:rsidRPr="00FC7BDD">
        <w:rPr>
          <w:bCs/>
          <w:i/>
        </w:rPr>
        <w:t xml:space="preserve"> </w:t>
      </w:r>
      <w:proofErr w:type="spellStart"/>
      <w:r w:rsidRPr="00FC7BDD">
        <w:rPr>
          <w:bCs/>
          <w:i/>
        </w:rPr>
        <w:t>pallida</w:t>
      </w:r>
      <w:proofErr w:type="spellEnd"/>
      <w:r w:rsidRPr="00FC7BDD">
        <w:rPr>
          <w:bCs/>
        </w:rPr>
        <w:t xml:space="preserve"> i </w:t>
      </w:r>
      <w:proofErr w:type="spellStart"/>
      <w:r w:rsidRPr="00FC7BDD">
        <w:rPr>
          <w:bCs/>
          <w:i/>
        </w:rPr>
        <w:t>Globodera</w:t>
      </w:r>
      <w:proofErr w:type="spellEnd"/>
      <w:r w:rsidRPr="00FC7BDD">
        <w:rPr>
          <w:bCs/>
          <w:i/>
        </w:rPr>
        <w:t xml:space="preserve"> </w:t>
      </w:r>
      <w:proofErr w:type="spellStart"/>
      <w:r w:rsidRPr="00FC7BDD">
        <w:rPr>
          <w:bCs/>
          <w:i/>
        </w:rPr>
        <w:t>rostochiensis</w:t>
      </w:r>
      <w:proofErr w:type="spellEnd"/>
      <w:r w:rsidRPr="00FC7BDD">
        <w:rPr>
          <w:bCs/>
          <w:i/>
        </w:rPr>
        <w:t xml:space="preserve"> </w:t>
      </w:r>
    </w:p>
    <w:p w14:paraId="4996B7B1" w14:textId="77777777" w:rsidR="00614F35" w:rsidRPr="00FC7BDD" w:rsidRDefault="009C66D3" w:rsidP="00242400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 w:rsidRPr="00FC7BDD">
        <w:t>Rozporządzenie</w:t>
      </w:r>
      <w:r w:rsidR="00CF7B48" w:rsidRPr="00FC7BDD">
        <w:t xml:space="preserve"> W</w:t>
      </w:r>
      <w:r w:rsidR="00614F35" w:rsidRPr="00FC7BDD">
        <w:t>ykonawcze Komisji (UE) 2022/1193</w:t>
      </w:r>
    </w:p>
    <w:p w14:paraId="3611EA20" w14:textId="77777777" w:rsidR="009C66D3" w:rsidRDefault="009C66D3" w:rsidP="00242400">
      <w:pPr>
        <w:pStyle w:val="Akapitzlist"/>
        <w:spacing w:line="240" w:lineRule="auto"/>
        <w:ind w:left="360"/>
        <w:jc w:val="both"/>
      </w:pPr>
      <w:r w:rsidRPr="00FC7BDD">
        <w:t xml:space="preserve">z dnia 11 lipca 2022r. </w:t>
      </w:r>
      <w:r w:rsidRPr="00FC7BDD">
        <w:rPr>
          <w:bCs/>
        </w:rPr>
        <w:t xml:space="preserve">ustanawiające środki w celu zwalczania i zapobiegania </w:t>
      </w:r>
      <w:r w:rsidRPr="009C66D3">
        <w:rPr>
          <w:bCs/>
        </w:rPr>
        <w:t>rozprzestrzenianiu się</w:t>
      </w:r>
      <w:r>
        <w:rPr>
          <w:bCs/>
        </w:rPr>
        <w:t xml:space="preserve"> </w:t>
      </w:r>
      <w:proofErr w:type="spellStart"/>
      <w:r w:rsidRPr="009C66D3">
        <w:rPr>
          <w:bCs/>
          <w:i/>
        </w:rPr>
        <w:t>Ralstonia</w:t>
      </w:r>
      <w:proofErr w:type="spellEnd"/>
      <w:r w:rsidRPr="009C66D3">
        <w:rPr>
          <w:bCs/>
          <w:i/>
        </w:rPr>
        <w:t xml:space="preserve"> </w:t>
      </w:r>
      <w:proofErr w:type="spellStart"/>
      <w:r w:rsidRPr="009C66D3">
        <w:rPr>
          <w:bCs/>
          <w:i/>
        </w:rPr>
        <w:t>solanacearum</w:t>
      </w:r>
      <w:proofErr w:type="spellEnd"/>
    </w:p>
    <w:p w14:paraId="684FABE2" w14:textId="77777777" w:rsidR="00614F35" w:rsidRDefault="009C66D3" w:rsidP="00242400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>
        <w:t>Rozporządzenie</w:t>
      </w:r>
      <w:r w:rsidR="00CF7B48">
        <w:t xml:space="preserve"> W</w:t>
      </w:r>
      <w:r w:rsidR="00614F35" w:rsidRPr="00FA301C">
        <w:t>ykonawcze</w:t>
      </w:r>
      <w:r w:rsidR="00614F35">
        <w:t xml:space="preserve"> Komisji (UE) 2022/1194</w:t>
      </w:r>
    </w:p>
    <w:p w14:paraId="5381EA45" w14:textId="77777777" w:rsidR="009C66D3" w:rsidRDefault="009C66D3" w:rsidP="00242400">
      <w:pPr>
        <w:pStyle w:val="Akapitzlist"/>
        <w:spacing w:line="240" w:lineRule="auto"/>
        <w:ind w:left="360"/>
        <w:jc w:val="both"/>
      </w:pPr>
      <w:r>
        <w:t xml:space="preserve">z dnia 11 lipca 2022r. </w:t>
      </w:r>
      <w:r w:rsidRPr="009C66D3">
        <w:rPr>
          <w:bCs/>
        </w:rPr>
        <w:t>ustanawiające środki w celu zwalczania i zapobiegania rozprzestrzenianiu się</w:t>
      </w:r>
      <w:r>
        <w:rPr>
          <w:bCs/>
        </w:rPr>
        <w:t xml:space="preserve"> </w:t>
      </w:r>
      <w:proofErr w:type="spellStart"/>
      <w:r w:rsidRPr="009C66D3">
        <w:rPr>
          <w:bCs/>
          <w:i/>
        </w:rPr>
        <w:t>Clavibacter</w:t>
      </w:r>
      <w:proofErr w:type="spellEnd"/>
      <w:r w:rsidRPr="009C66D3">
        <w:rPr>
          <w:bCs/>
          <w:i/>
        </w:rPr>
        <w:t xml:space="preserve"> </w:t>
      </w:r>
      <w:proofErr w:type="spellStart"/>
      <w:r w:rsidRPr="009C66D3">
        <w:rPr>
          <w:bCs/>
          <w:i/>
        </w:rPr>
        <w:t>sepedonicus</w:t>
      </w:r>
      <w:proofErr w:type="spellEnd"/>
    </w:p>
    <w:p w14:paraId="3A054BDB" w14:textId="77777777" w:rsidR="009C66D3" w:rsidRDefault="00CF7B48" w:rsidP="00242400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>
        <w:t>Rozporządzenie W</w:t>
      </w:r>
      <w:r w:rsidR="00614F35" w:rsidRPr="00614F35">
        <w:t>ykonawcze Komisji (UE)</w:t>
      </w:r>
      <w:r w:rsidR="00FA301C" w:rsidRPr="00614F35">
        <w:t xml:space="preserve"> </w:t>
      </w:r>
      <w:r w:rsidR="00614F35">
        <w:t xml:space="preserve">2022/1195 </w:t>
      </w:r>
    </w:p>
    <w:p w14:paraId="783BF4E2" w14:textId="77777777" w:rsidR="00614F35" w:rsidRDefault="009C66D3" w:rsidP="00242400">
      <w:pPr>
        <w:pStyle w:val="Akapitzlist"/>
        <w:spacing w:line="240" w:lineRule="auto"/>
        <w:ind w:left="360"/>
        <w:jc w:val="both"/>
        <w:rPr>
          <w:bCs/>
          <w:i/>
          <w:iCs/>
        </w:rPr>
      </w:pPr>
      <w:r>
        <w:t xml:space="preserve">z dnia 11 lipca 2022r. </w:t>
      </w:r>
      <w:r w:rsidR="00614F35" w:rsidRPr="009C66D3">
        <w:rPr>
          <w:bCs/>
        </w:rPr>
        <w:t xml:space="preserve">ustanawiające środki w celu zwalczania i zapobiegania rozprzestrzenianiu się </w:t>
      </w:r>
      <w:proofErr w:type="spellStart"/>
      <w:r w:rsidR="00614F35" w:rsidRPr="009C66D3">
        <w:rPr>
          <w:bCs/>
          <w:i/>
          <w:iCs/>
        </w:rPr>
        <w:t>Synchytrium</w:t>
      </w:r>
      <w:proofErr w:type="spellEnd"/>
      <w:r w:rsidR="00614F35" w:rsidRPr="009C66D3">
        <w:rPr>
          <w:bCs/>
          <w:i/>
          <w:iCs/>
        </w:rPr>
        <w:t xml:space="preserve"> </w:t>
      </w:r>
      <w:proofErr w:type="spellStart"/>
      <w:r w:rsidR="00614F35" w:rsidRPr="009C66D3">
        <w:rPr>
          <w:bCs/>
          <w:i/>
          <w:iCs/>
        </w:rPr>
        <w:t>endobioticum</w:t>
      </w:r>
      <w:proofErr w:type="spellEnd"/>
    </w:p>
    <w:p w14:paraId="2F2E8A9F" w14:textId="77777777" w:rsidR="00CF7B48" w:rsidRDefault="00CF7B48" w:rsidP="00242400">
      <w:pPr>
        <w:pStyle w:val="Akapitzlist"/>
        <w:spacing w:line="240" w:lineRule="auto"/>
        <w:jc w:val="both"/>
      </w:pPr>
    </w:p>
    <w:p w14:paraId="2788CDCE" w14:textId="77777777" w:rsidR="00CF7B48" w:rsidRDefault="00CF7B48" w:rsidP="00242400">
      <w:pPr>
        <w:pStyle w:val="Akapitzlist"/>
        <w:spacing w:line="240" w:lineRule="auto"/>
        <w:ind w:left="0"/>
        <w:jc w:val="both"/>
      </w:pPr>
      <w:r>
        <w:t xml:space="preserve">Istotną zmianą jakie wprowadza Rozporządzenie Wykonawcze Komisji (UE) 2022/1194 ustanawiające środki w celu zwalczania i zapobiegania rozprzestrzenianiu się </w:t>
      </w:r>
      <w:proofErr w:type="spellStart"/>
      <w:r>
        <w:rPr>
          <w:rStyle w:val="Uwydatnienie"/>
        </w:rPr>
        <w:t>Clavibacter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sepedonicus</w:t>
      </w:r>
      <w:proofErr w:type="spellEnd"/>
      <w:r>
        <w:rPr>
          <w:rStyle w:val="Uwydatnienie"/>
        </w:rPr>
        <w:t xml:space="preserve"> </w:t>
      </w:r>
      <w:r>
        <w:t xml:space="preserve">jest zmiana sposobu poświadczenia, że wyprodukowane w Polsce a przemieszczanym do innych państw członkowskich UE, bulwy ziemianka są wolne od ww. bakterii. Zgodnie z art. 8 ww. rozporządzenia nr 2022/1194, </w:t>
      </w:r>
      <w:r>
        <w:rPr>
          <w:rStyle w:val="Pogrubienie"/>
        </w:rPr>
        <w:t>dokumentem potwierdzającym, że przemieszczane bulwy ziemniaka, pochodzące z obszarów o wysokim stopniu zakażenia bakterią</w:t>
      </w:r>
      <w:r>
        <w:rPr>
          <w:rStyle w:val="Uwydatnienie"/>
          <w:b/>
          <w:bCs/>
        </w:rPr>
        <w:t xml:space="preserve"> </w:t>
      </w:r>
      <w:proofErr w:type="spellStart"/>
      <w:r>
        <w:rPr>
          <w:rStyle w:val="Uwydatnienie"/>
          <w:b/>
          <w:bCs/>
        </w:rPr>
        <w:t>Clavibacter</w:t>
      </w:r>
      <w:proofErr w:type="spellEnd"/>
      <w:r>
        <w:rPr>
          <w:rStyle w:val="Uwydatnienie"/>
          <w:b/>
          <w:bCs/>
        </w:rPr>
        <w:t xml:space="preserve"> </w:t>
      </w:r>
      <w:proofErr w:type="spellStart"/>
      <w:r>
        <w:rPr>
          <w:rStyle w:val="Uwydatnienie"/>
          <w:b/>
          <w:bCs/>
        </w:rPr>
        <w:t>sepedonicus</w:t>
      </w:r>
      <w:proofErr w:type="spellEnd"/>
      <w:r>
        <w:rPr>
          <w:rStyle w:val="Pogrubienie"/>
        </w:rPr>
        <w:t>, są wolne od tej bakterii jest paszport roślin</w:t>
      </w:r>
      <w:r>
        <w:t>. Obszary te zostały wskazane w załączniku nr IV do w/w rozporządzenia i stanowią je terytoria Polski i Rumunii.</w:t>
      </w:r>
    </w:p>
    <w:p w14:paraId="464C1BB9" w14:textId="77777777" w:rsidR="00FC7BDD" w:rsidRDefault="00FC7BDD" w:rsidP="00242400">
      <w:pPr>
        <w:pStyle w:val="Akapitzlist"/>
        <w:spacing w:before="240" w:line="240" w:lineRule="auto"/>
        <w:ind w:left="0"/>
        <w:jc w:val="both"/>
        <w:rPr>
          <w:b/>
        </w:rPr>
      </w:pPr>
      <w:r>
        <w:t>Paszporty roślin dla ziemniaków innych niż sadzeniaki, w celu ich przemieszczenia do innego państwa członkowskiego Unii, będą na chwilę obecną wydawane przez Wojewódzkiego Inspektora Ochron</w:t>
      </w:r>
      <w:r w:rsidR="009415AA">
        <w:t>y Roślin i Nasiennictwa</w:t>
      </w:r>
      <w:r>
        <w:t xml:space="preserve">, po przeprowadzeniu </w:t>
      </w:r>
      <w:r w:rsidRPr="005E6BEA">
        <w:rPr>
          <w:b/>
        </w:rPr>
        <w:t xml:space="preserve">badań potwierdzających, że przemieszczane ziemniaki są wolne od bakterii </w:t>
      </w:r>
      <w:proofErr w:type="spellStart"/>
      <w:r w:rsidRPr="005E6BEA">
        <w:rPr>
          <w:rStyle w:val="Uwydatnienie"/>
          <w:b/>
        </w:rPr>
        <w:t>Clavibacter</w:t>
      </w:r>
      <w:proofErr w:type="spellEnd"/>
      <w:r w:rsidRPr="005E6BEA">
        <w:rPr>
          <w:rStyle w:val="Uwydatnienie"/>
          <w:b/>
        </w:rPr>
        <w:t xml:space="preserve"> </w:t>
      </w:r>
      <w:proofErr w:type="spellStart"/>
      <w:r w:rsidRPr="005E6BEA">
        <w:rPr>
          <w:rStyle w:val="Uwydatnienie"/>
          <w:b/>
        </w:rPr>
        <w:t>sepedonicus</w:t>
      </w:r>
      <w:proofErr w:type="spellEnd"/>
      <w:r w:rsidRPr="005E6BEA">
        <w:rPr>
          <w:b/>
        </w:rPr>
        <w:t xml:space="preserve"> lub potwierdzeniu, że pochodzą z miejsca produkcji zarejestrowanego i nadzorowanego oraz oficjalnie uznanego przez </w:t>
      </w:r>
      <w:proofErr w:type="spellStart"/>
      <w:r w:rsidRPr="005E6BEA">
        <w:rPr>
          <w:b/>
        </w:rPr>
        <w:t>WIORiN</w:t>
      </w:r>
      <w:proofErr w:type="spellEnd"/>
      <w:r w:rsidRPr="005E6BEA">
        <w:rPr>
          <w:b/>
        </w:rPr>
        <w:t xml:space="preserve"> za wolne od bakterii </w:t>
      </w:r>
      <w:proofErr w:type="spellStart"/>
      <w:r w:rsidRPr="005E6BEA">
        <w:rPr>
          <w:rStyle w:val="Uwydatnienie"/>
          <w:b/>
        </w:rPr>
        <w:t>Clavibacter</w:t>
      </w:r>
      <w:proofErr w:type="spellEnd"/>
      <w:r w:rsidRPr="005E6BEA">
        <w:rPr>
          <w:rStyle w:val="Uwydatnienie"/>
          <w:b/>
        </w:rPr>
        <w:t xml:space="preserve"> </w:t>
      </w:r>
      <w:proofErr w:type="spellStart"/>
      <w:r w:rsidRPr="005E6BEA">
        <w:rPr>
          <w:rStyle w:val="Uwydatnienie"/>
          <w:b/>
        </w:rPr>
        <w:t>sepedonicus</w:t>
      </w:r>
      <w:proofErr w:type="spellEnd"/>
      <w:r w:rsidRPr="005E6BEA">
        <w:rPr>
          <w:b/>
        </w:rPr>
        <w:t>.</w:t>
      </w:r>
    </w:p>
    <w:p w14:paraId="70D05169" w14:textId="77777777" w:rsidR="00242400" w:rsidRPr="005E6BEA" w:rsidRDefault="00242400" w:rsidP="00242400">
      <w:pPr>
        <w:pStyle w:val="Akapitzlist"/>
        <w:spacing w:before="240" w:line="240" w:lineRule="auto"/>
        <w:ind w:left="0"/>
        <w:jc w:val="both"/>
        <w:rPr>
          <w:b/>
        </w:rPr>
      </w:pPr>
    </w:p>
    <w:p w14:paraId="02D014BF" w14:textId="77777777" w:rsidR="00FC7BDD" w:rsidRPr="005E6BEA" w:rsidRDefault="00FC7BDD" w:rsidP="00242400">
      <w:pPr>
        <w:pStyle w:val="Akapitzlist"/>
        <w:spacing w:before="240" w:after="0" w:line="240" w:lineRule="auto"/>
        <w:ind w:left="0"/>
        <w:jc w:val="both"/>
        <w:rPr>
          <w:b/>
        </w:rPr>
      </w:pPr>
      <w:r w:rsidRPr="005E6BEA">
        <w:rPr>
          <w:b/>
        </w:rPr>
        <w:t>Ponadto bulwy ziemniaków innych niż sadzeniaki powinny być także odpowiednio oznakowane zgodnie z Rozporządzeniem Ministra Rolnictwa i Rozwoju Wsi w sprawie sposobów oznakowania bulw ziemniaków innych niż sadzeniaki z dnia 25 kwietnia 2016 r. (</w:t>
      </w:r>
      <w:proofErr w:type="spellStart"/>
      <w:r w:rsidRPr="005E6BEA">
        <w:rPr>
          <w:b/>
        </w:rPr>
        <w:t>t.j</w:t>
      </w:r>
      <w:proofErr w:type="spellEnd"/>
      <w:r w:rsidRPr="005E6BEA">
        <w:rPr>
          <w:b/>
        </w:rPr>
        <w:t>. Dz. U. z 2020 r. poz. 1579).</w:t>
      </w:r>
    </w:p>
    <w:p w14:paraId="03B89093" w14:textId="77777777" w:rsidR="00242400" w:rsidRDefault="00242400" w:rsidP="00242400">
      <w:pPr>
        <w:pStyle w:val="Akapitzlist"/>
        <w:spacing w:line="240" w:lineRule="auto"/>
        <w:ind w:left="0"/>
        <w:jc w:val="both"/>
        <w:rPr>
          <w:rStyle w:val="Pogrubienie"/>
        </w:rPr>
      </w:pPr>
    </w:p>
    <w:p w14:paraId="5A8EF8D2" w14:textId="77777777" w:rsidR="00FC7BDD" w:rsidRPr="00242400" w:rsidRDefault="00FC7BDD" w:rsidP="00242400">
      <w:pPr>
        <w:pStyle w:val="Akapitzlist"/>
        <w:spacing w:line="240" w:lineRule="auto"/>
        <w:ind w:left="0"/>
        <w:jc w:val="both"/>
        <w:rPr>
          <w:b/>
        </w:rPr>
      </w:pPr>
      <w:r w:rsidRPr="00242400">
        <w:rPr>
          <w:rStyle w:val="Pogrubienie"/>
          <w:b w:val="0"/>
        </w:rPr>
        <w:t>W przypadku sadzeniaków ziemniaka, nowe warunki, nie będą stanowiły żadnych dodatkowych wymogów w stosunku do ogólnych warunków swobodnego przemieszania sadzeniaków w obrębie Unii, w tym w Polsce.</w:t>
      </w:r>
    </w:p>
    <w:p w14:paraId="39EC8192" w14:textId="77777777" w:rsidR="00614F35" w:rsidRPr="005E6BEA" w:rsidRDefault="00242400" w:rsidP="00242400">
      <w:pPr>
        <w:pStyle w:val="Default"/>
        <w:rPr>
          <w:b/>
        </w:rPr>
      </w:pPr>
      <w:r w:rsidRPr="005E6BEA"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49F6B49" wp14:editId="12E38792">
            <wp:simplePos x="0" y="0"/>
            <wp:positionH relativeFrom="column">
              <wp:posOffset>1270</wp:posOffset>
            </wp:positionH>
            <wp:positionV relativeFrom="paragraph">
              <wp:posOffset>172085</wp:posOffset>
            </wp:positionV>
            <wp:extent cx="1520825" cy="1276350"/>
            <wp:effectExtent l="0" t="0" r="3175" b="0"/>
            <wp:wrapSquare wrapText="bothSides"/>
            <wp:docPr id="178181" name="Picture 4" descr="https://piorin.gov.pl/gfx/piorin/_thumbs/pl/defaultstronaopisowa/1523/2/1/paszporty_roslin_ue,klOWfqWibGpC785Hl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1" name="Picture 4" descr="https://piorin.gov.pl/gfx/piorin/_thumbs/pl/defaultstronaopisowa/1523/2/1/paszporty_roslin_ue,klOWfqWibGpC785HlX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11" b="71148"/>
                    <a:stretch/>
                  </pic:blipFill>
                  <pic:spPr bwMode="auto">
                    <a:xfrm>
                      <a:off x="0" y="0"/>
                      <a:ext cx="1520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F35" w:rsidRPr="005E6BEA">
        <w:rPr>
          <w:b/>
        </w:rPr>
        <w:t xml:space="preserve"> </w:t>
      </w:r>
    </w:p>
    <w:p w14:paraId="4133A12B" w14:textId="77777777" w:rsidR="005E6BEA" w:rsidRPr="00242400" w:rsidRDefault="00242400" w:rsidP="00242400">
      <w:pPr>
        <w:pStyle w:val="Default"/>
        <w:rPr>
          <w:b/>
          <w:color w:val="auto"/>
          <w:sz w:val="22"/>
          <w:szCs w:val="22"/>
        </w:rPr>
      </w:pPr>
      <w:r w:rsidRPr="00242400">
        <w:rPr>
          <w:rFonts w:asciiTheme="minorHAnsi" w:eastAsiaTheme="minorEastAsia" w:hAnsi="Calibri" w:cstheme="minorBidi"/>
          <w:color w:val="auto"/>
          <w:kern w:val="24"/>
          <w:sz w:val="22"/>
          <w:szCs w:val="22"/>
        </w:rPr>
        <w:t>Wzory oraz elementy paszportu roślin określa</w:t>
      </w:r>
      <w:r w:rsidR="005E6BEA" w:rsidRPr="00242400">
        <w:rPr>
          <w:rFonts w:asciiTheme="minorHAnsi" w:eastAsiaTheme="minorEastAsia" w:hAnsi="Calibri" w:cstheme="minorBidi"/>
          <w:b/>
          <w:color w:val="auto"/>
          <w:kern w:val="24"/>
          <w:sz w:val="22"/>
          <w:szCs w:val="22"/>
        </w:rPr>
        <w:t xml:space="preserve"> </w:t>
      </w:r>
      <w:r w:rsidR="005E6BEA" w:rsidRPr="00242400">
        <w:rPr>
          <w:rFonts w:asciiTheme="minorHAnsi" w:eastAsiaTheme="minorEastAsia" w:hAnsi="Calibri" w:cstheme="minorBidi"/>
          <w:color w:val="auto"/>
          <w:kern w:val="24"/>
          <w:sz w:val="22"/>
          <w:szCs w:val="22"/>
        </w:rPr>
        <w:t xml:space="preserve">Załącznik VII do </w:t>
      </w:r>
      <w:proofErr w:type="spellStart"/>
      <w:r w:rsidR="005E6BEA" w:rsidRPr="00242400">
        <w:rPr>
          <w:rFonts w:asciiTheme="minorHAnsi" w:eastAsiaTheme="minorEastAsia" w:hAnsi="Calibri" w:cstheme="minorBidi"/>
          <w:color w:val="auto"/>
          <w:kern w:val="24"/>
          <w:sz w:val="22"/>
          <w:szCs w:val="22"/>
        </w:rPr>
        <w:t>Rozp</w:t>
      </w:r>
      <w:proofErr w:type="spellEnd"/>
      <w:r w:rsidR="005E6BEA" w:rsidRPr="00242400">
        <w:rPr>
          <w:rFonts w:asciiTheme="minorHAnsi" w:eastAsiaTheme="minorEastAsia" w:hAnsi="Calibri" w:cstheme="minorBidi"/>
          <w:color w:val="auto"/>
          <w:kern w:val="24"/>
          <w:sz w:val="22"/>
          <w:szCs w:val="22"/>
        </w:rPr>
        <w:t>. 2016/2031 i Rozporządzenie wykonawcze komisji 2017/2313 z 13 grudnia 2017 r.)</w:t>
      </w:r>
    </w:p>
    <w:p w14:paraId="74BAD45F" w14:textId="77777777" w:rsidR="00242400" w:rsidRPr="00242400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>flaga</w:t>
      </w: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– kolorowa lub czarno-biała lub biało-czarna (lewy górny róg)</w:t>
      </w:r>
      <w:r w:rsidR="00242400" w:rsidRPr="00242400">
        <w:rPr>
          <w:sz w:val="22"/>
          <w:szCs w:val="22"/>
        </w:rPr>
        <w:t xml:space="preserve"> </w:t>
      </w:r>
    </w:p>
    <w:p w14:paraId="3E7233FA" w14:textId="77777777" w:rsidR="00242400" w:rsidRPr="00242400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wyrazy </w:t>
      </w:r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 xml:space="preserve">Paszport roślin/Plant </w:t>
      </w:r>
      <w:proofErr w:type="spellStart"/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>passport</w:t>
      </w:r>
      <w:proofErr w:type="spellEnd"/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 xml:space="preserve"> </w:t>
      </w: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(prawy górny róg) </w:t>
      </w:r>
    </w:p>
    <w:p w14:paraId="3E40D437" w14:textId="77777777" w:rsidR="00242400" w:rsidRPr="00242400" w:rsidRDefault="00242400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</w:pPr>
    </w:p>
    <w:p w14:paraId="581A0604" w14:textId="77777777" w:rsidR="00242400" w:rsidRPr="00242400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>litera A:</w:t>
      </w: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nazwa botaniczna gatunku</w:t>
      </w:r>
      <w:r w:rsidR="00242400" w:rsidRPr="00242400">
        <w:rPr>
          <w:sz w:val="22"/>
          <w:szCs w:val="22"/>
        </w:rPr>
        <w:t xml:space="preserve"> </w:t>
      </w: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>lub nazwa przedmiotu, opcjonalnie nazwa odmiany</w:t>
      </w:r>
    </w:p>
    <w:p w14:paraId="79659E97" w14:textId="77777777" w:rsidR="00242400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242400"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  <w:t>litera B:</w:t>
      </w:r>
      <w:r w:rsidR="00242400"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dwuliterowy kod </w:t>
      </w:r>
      <w:proofErr w:type="spellStart"/>
      <w:r w:rsidR="00242400" w:rsidRPr="00242400">
        <w:rPr>
          <w:rFonts w:asciiTheme="minorHAnsi" w:eastAsiaTheme="minorEastAsia" w:hAnsi="Calibri" w:cstheme="minorBidi"/>
          <w:kern w:val="24"/>
          <w:sz w:val="22"/>
          <w:szCs w:val="22"/>
        </w:rPr>
        <w:t>PCz</w:t>
      </w:r>
      <w:proofErr w:type="spellEnd"/>
      <w:r w:rsidR="00242400"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(np. PL) </w:t>
      </w:r>
      <w:r w:rsidRPr="00242400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i numer rejestracyjny podmiotu </w:t>
      </w:r>
      <w:r w:rsidRPr="0024240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profesjonalnego </w:t>
      </w:r>
    </w:p>
    <w:p w14:paraId="4A821093" w14:textId="77777777" w:rsidR="00242400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24240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litera C:</w:t>
      </w:r>
      <w:r w:rsidRPr="0024240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kod identyfikacyjny </w:t>
      </w:r>
    </w:p>
    <w:p w14:paraId="7AC2ABD8" w14:textId="77777777" w:rsidR="005E6BEA" w:rsidRDefault="005E6BEA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24240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litera D:</w:t>
      </w:r>
      <w:r w:rsidRPr="0024240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nazwa państwa pochodzenia (odpowiednio trzeciego lub </w:t>
      </w:r>
      <w:proofErr w:type="spellStart"/>
      <w:r w:rsidRPr="0024240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PCz</w:t>
      </w:r>
      <w:proofErr w:type="spellEnd"/>
      <w:r w:rsidRPr="0024240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np. PL)</w:t>
      </w:r>
    </w:p>
    <w:p w14:paraId="19477282" w14:textId="77777777" w:rsidR="00D953F4" w:rsidRDefault="00D953F4" w:rsidP="00D953F4">
      <w:pPr>
        <w:pStyle w:val="Default"/>
        <w:rPr>
          <w:rFonts w:asciiTheme="minorHAnsi" w:hAnsiTheme="minorHAnsi"/>
          <w:sz w:val="22"/>
          <w:szCs w:val="22"/>
        </w:rPr>
      </w:pPr>
    </w:p>
    <w:p w14:paraId="6500B493" w14:textId="77777777" w:rsidR="00D953F4" w:rsidRDefault="00D953F4" w:rsidP="00D953F4">
      <w:pPr>
        <w:pStyle w:val="Default"/>
        <w:rPr>
          <w:rFonts w:asciiTheme="minorHAnsi" w:hAnsiTheme="minorHAnsi"/>
          <w:sz w:val="22"/>
          <w:szCs w:val="22"/>
        </w:rPr>
      </w:pPr>
    </w:p>
    <w:p w14:paraId="671C52F4" w14:textId="77777777" w:rsidR="00D953F4" w:rsidRPr="00242400" w:rsidRDefault="00D953F4" w:rsidP="00D953F4">
      <w:pPr>
        <w:pStyle w:val="Default"/>
        <w:rPr>
          <w:rFonts w:asciiTheme="minorHAnsi" w:hAnsiTheme="minorHAnsi"/>
          <w:sz w:val="22"/>
          <w:szCs w:val="22"/>
        </w:rPr>
      </w:pPr>
      <w:r w:rsidRPr="00242400">
        <w:rPr>
          <w:rFonts w:asciiTheme="minorHAnsi" w:hAnsiTheme="minorHAnsi"/>
          <w:sz w:val="22"/>
          <w:szCs w:val="22"/>
        </w:rPr>
        <w:t>Informacje dotyczące prawa, struktury organizacyjnej Państwowej Inspekcji Ochrony Roślin i Nasiennictwa oraz dane teleadresowe są dostępne na stronie:  http://</w:t>
      </w:r>
      <w:r w:rsidR="00EC35B9">
        <w:rPr>
          <w:rFonts w:asciiTheme="minorHAnsi" w:hAnsiTheme="minorHAnsi"/>
          <w:sz w:val="22"/>
          <w:szCs w:val="22"/>
        </w:rPr>
        <w:t>www.</w:t>
      </w:r>
      <w:r w:rsidRPr="00242400">
        <w:rPr>
          <w:rFonts w:asciiTheme="minorHAnsi" w:hAnsiTheme="minorHAnsi"/>
          <w:sz w:val="22"/>
          <w:szCs w:val="22"/>
        </w:rPr>
        <w:t>piorin.gov.pl/</w:t>
      </w:r>
    </w:p>
    <w:p w14:paraId="44A73587" w14:textId="77777777" w:rsidR="00D953F4" w:rsidRPr="00242400" w:rsidRDefault="00D953F4" w:rsidP="00242400">
      <w:pPr>
        <w:pStyle w:val="NormalnyWeb"/>
        <w:tabs>
          <w:tab w:val="left" w:pos="563"/>
        </w:tabs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DBD628B" w14:textId="77777777" w:rsidR="005E6BEA" w:rsidRDefault="005E6BEA" w:rsidP="00242400">
      <w:pPr>
        <w:pStyle w:val="Default"/>
      </w:pPr>
    </w:p>
    <w:sectPr w:rsidR="005E6BEA" w:rsidSect="00D953F4">
      <w:pgSz w:w="16838" w:h="11906" w:orient="landscape"/>
      <w:pgMar w:top="851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0FC"/>
    <w:multiLevelType w:val="hybridMultilevel"/>
    <w:tmpl w:val="77881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31631"/>
    <w:multiLevelType w:val="multilevel"/>
    <w:tmpl w:val="1E64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127947">
    <w:abstractNumId w:val="0"/>
  </w:num>
  <w:num w:numId="2" w16cid:durableId="78565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1C"/>
    <w:rsid w:val="00242400"/>
    <w:rsid w:val="002A540B"/>
    <w:rsid w:val="003342C1"/>
    <w:rsid w:val="00355A1F"/>
    <w:rsid w:val="003A52C4"/>
    <w:rsid w:val="00451943"/>
    <w:rsid w:val="005E6BEA"/>
    <w:rsid w:val="005E7609"/>
    <w:rsid w:val="00614F35"/>
    <w:rsid w:val="0092626E"/>
    <w:rsid w:val="009415AA"/>
    <w:rsid w:val="009C66D3"/>
    <w:rsid w:val="009F4408"/>
    <w:rsid w:val="00C62CBF"/>
    <w:rsid w:val="00CF7B48"/>
    <w:rsid w:val="00D953F4"/>
    <w:rsid w:val="00E024BF"/>
    <w:rsid w:val="00EC35B9"/>
    <w:rsid w:val="00EF4644"/>
    <w:rsid w:val="00FA301C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5DB8"/>
  <w15:chartTrackingRefBased/>
  <w15:docId w15:val="{E9D6FF0A-8491-41EA-BB37-2EAE272A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7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01C"/>
    <w:pPr>
      <w:ind w:left="720"/>
      <w:contextualSpacing/>
    </w:pPr>
  </w:style>
  <w:style w:type="paragraph" w:customStyle="1" w:styleId="Default">
    <w:name w:val="Default"/>
    <w:rsid w:val="00614F3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F7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F7B48"/>
    <w:rPr>
      <w:i/>
      <w:iCs/>
    </w:rPr>
  </w:style>
  <w:style w:type="character" w:styleId="Pogrubienie">
    <w:name w:val="Strong"/>
    <w:basedOn w:val="Domylnaczcionkaakapitu"/>
    <w:uiPriority w:val="22"/>
    <w:qFormat/>
    <w:rsid w:val="00CF7B4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5A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E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Krasuska</dc:creator>
  <cp:keywords/>
  <dc:description/>
  <cp:lastModifiedBy>Wioleta Podgórska</cp:lastModifiedBy>
  <cp:revision>2</cp:revision>
  <cp:lastPrinted>2022-10-11T10:29:00Z</cp:lastPrinted>
  <dcterms:created xsi:type="dcterms:W3CDTF">2022-11-08T11:20:00Z</dcterms:created>
  <dcterms:modified xsi:type="dcterms:W3CDTF">2022-11-08T11:20:00Z</dcterms:modified>
</cp:coreProperties>
</file>