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D252" w14:textId="77777777" w:rsidR="00050B2C" w:rsidRPr="00527754" w:rsidRDefault="00050B2C" w:rsidP="00050B2C">
      <w:pPr>
        <w:jc w:val="both"/>
        <w:rPr>
          <w:sz w:val="24"/>
          <w:szCs w:val="24"/>
        </w:rPr>
      </w:pPr>
      <w:r w:rsidRPr="00527754">
        <w:rPr>
          <w:sz w:val="24"/>
          <w:szCs w:val="24"/>
        </w:rPr>
        <w:t>Zmiany w programie Czyste Powietrze</w:t>
      </w:r>
      <w:r>
        <w:rPr>
          <w:sz w:val="24"/>
          <w:szCs w:val="24"/>
        </w:rPr>
        <w:t xml:space="preserve">. Od 20 lipca </w:t>
      </w:r>
      <w:r w:rsidRPr="00527754">
        <w:rPr>
          <w:sz w:val="24"/>
          <w:szCs w:val="24"/>
        </w:rPr>
        <w:t>łatwiej skorzystasz z dotacji</w:t>
      </w:r>
    </w:p>
    <w:p w14:paraId="02AF82FD" w14:textId="77777777" w:rsidR="00050B2C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Łatwiejszy dostęp do programu dla właścicieli domów, wyższe wsparcie na termomodernizację</w:t>
      </w:r>
      <w:r>
        <w:rPr>
          <w:b/>
          <w:bCs/>
        </w:rPr>
        <w:t xml:space="preserve"> </w:t>
      </w:r>
      <w:r w:rsidRPr="00527754">
        <w:rPr>
          <w:b/>
          <w:bCs/>
        </w:rPr>
        <w:t xml:space="preserve">i </w:t>
      </w:r>
      <w:r>
        <w:rPr>
          <w:b/>
          <w:bCs/>
        </w:rPr>
        <w:t>więcej czasu na realizację inwestycji</w:t>
      </w:r>
      <w:r w:rsidRPr="00527754">
        <w:rPr>
          <w:b/>
          <w:bCs/>
        </w:rPr>
        <w:t xml:space="preserve"> – to zmiany w programie Czyste Powietrze, które zaczną obowiązywać od 20 lipca 2026 r. </w:t>
      </w:r>
    </w:p>
    <w:p w14:paraId="2240C64E" w14:textId="77777777" w:rsidR="00050B2C" w:rsidRPr="009A222C" w:rsidRDefault="00050B2C" w:rsidP="00050B2C">
      <w:pPr>
        <w:jc w:val="both"/>
      </w:pPr>
      <w:r w:rsidRPr="009A222C">
        <w:t>– Nie poprzestajemy na reformie z ubiegłego roku, ale konsekwentnie rozwijamy i zmieniamy program. Odpowiadamy na zgłaszane potrzeby mieszkańców oraz gmin i dlatego wprowadzamy od 20 lipca zmiany, które ułatwią dostęp do wsparcia. Priorytetem pozostaje dla nas bezpieczeństwo beneficjentów i jakość wykonywanych prac, tak by program rzeczywiście przyczyniał się do podnoszenia jakości życia i nie narażał na wysokie rachunki – mówi Dorota Zawadzka-Stępniak, Prezes Zarządu NFOŚiGW.</w:t>
      </w:r>
    </w:p>
    <w:p w14:paraId="2A046021" w14:textId="77777777" w:rsidR="00050B2C" w:rsidRDefault="00050B2C" w:rsidP="00050B2C">
      <w:pPr>
        <w:jc w:val="both"/>
        <w:rPr>
          <w:b/>
          <w:bCs/>
        </w:rPr>
      </w:pPr>
      <w:r w:rsidRPr="00112081">
        <w:rPr>
          <w:b/>
          <w:bCs/>
        </w:rPr>
        <w:t>Najważniejsze zmian</w:t>
      </w:r>
      <w:r>
        <w:rPr>
          <w:b/>
          <w:bCs/>
        </w:rPr>
        <w:t>y:</w:t>
      </w:r>
    </w:p>
    <w:p w14:paraId="04E8888A" w14:textId="77777777" w:rsidR="00050B2C" w:rsidRPr="00112081" w:rsidRDefault="00050B2C" w:rsidP="00050B2C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112081">
        <w:rPr>
          <w:b/>
          <w:bCs/>
        </w:rPr>
        <w:t>Łatwiejszy dostęp do programu</w:t>
      </w:r>
      <w:r w:rsidRPr="00112081">
        <w:t xml:space="preserve"> – nowe wyjątki od zasady 3 lat własności</w:t>
      </w:r>
      <w:r>
        <w:t>,</w:t>
      </w:r>
    </w:p>
    <w:p w14:paraId="67CAD299" w14:textId="77777777" w:rsidR="00050B2C" w:rsidRPr="00112081" w:rsidRDefault="00050B2C" w:rsidP="00050B2C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112081">
        <w:rPr>
          <w:b/>
          <w:bCs/>
        </w:rPr>
        <w:t>Wyższe wsparcie na termomodernizację</w:t>
      </w:r>
      <w:r w:rsidRPr="00112081">
        <w:t xml:space="preserve"> – </w:t>
      </w:r>
      <w:r>
        <w:t xml:space="preserve">dodatkowe </w:t>
      </w:r>
      <w:r w:rsidRPr="00112081">
        <w:t>10% na wybrane prace</w:t>
      </w:r>
      <w:r>
        <w:t>,</w:t>
      </w:r>
    </w:p>
    <w:p w14:paraId="6AFE27D3" w14:textId="77777777" w:rsidR="00050B2C" w:rsidRPr="00112081" w:rsidRDefault="00050B2C" w:rsidP="00050B2C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112081">
        <w:rPr>
          <w:b/>
          <w:bCs/>
        </w:rPr>
        <w:t xml:space="preserve">Więcej czasu na </w:t>
      </w:r>
      <w:r>
        <w:rPr>
          <w:b/>
          <w:bCs/>
        </w:rPr>
        <w:t>realizację prac objętych zaliczką</w:t>
      </w:r>
      <w:r w:rsidRPr="00112081">
        <w:t xml:space="preserve"> – 180 zamiast 120 dni</w:t>
      </w:r>
      <w:r>
        <w:t>,</w:t>
      </w:r>
    </w:p>
    <w:p w14:paraId="334AA73D" w14:textId="77777777" w:rsidR="00050B2C" w:rsidRDefault="00050B2C" w:rsidP="00050B2C">
      <w:pPr>
        <w:pStyle w:val="Akapitzlist"/>
        <w:numPr>
          <w:ilvl w:val="0"/>
          <w:numId w:val="1"/>
        </w:numPr>
        <w:jc w:val="both"/>
      </w:pPr>
      <w:r w:rsidRPr="009D02F9">
        <w:rPr>
          <w:b/>
          <w:bCs/>
        </w:rPr>
        <w:t>Łatwiejsze uzyskanie dokumentacji</w:t>
      </w:r>
      <w:r>
        <w:t xml:space="preserve"> </w:t>
      </w:r>
      <w:r w:rsidRPr="00112081">
        <w:t>– więcej osób uprawnionych do potwierdzania wykonanych prac</w:t>
      </w:r>
      <w:r>
        <w:t>,</w:t>
      </w:r>
    </w:p>
    <w:p w14:paraId="51FEA40E" w14:textId="77777777" w:rsidR="00050B2C" w:rsidRDefault="00050B2C" w:rsidP="00050B2C">
      <w:pPr>
        <w:pStyle w:val="Akapitzlist"/>
        <w:numPr>
          <w:ilvl w:val="0"/>
          <w:numId w:val="1"/>
        </w:numPr>
        <w:jc w:val="both"/>
      </w:pPr>
      <w:r w:rsidRPr="00092C44">
        <w:rPr>
          <w:b/>
          <w:bCs/>
        </w:rPr>
        <w:t>Bardziej efektywne źródła ciepła</w:t>
      </w:r>
      <w:r w:rsidRPr="00092C44">
        <w:t xml:space="preserve"> – po 2026 r. </w:t>
      </w:r>
      <w:r>
        <w:t>koniec</w:t>
      </w:r>
      <w:r w:rsidRPr="00092C44">
        <w:t xml:space="preserve"> wsparci</w:t>
      </w:r>
      <w:r>
        <w:t>a</w:t>
      </w:r>
      <w:r w:rsidRPr="00092C44">
        <w:t xml:space="preserve"> dla ogrzewania elektrycznego innego niż pompy ciepła.</w:t>
      </w:r>
    </w:p>
    <w:p w14:paraId="30E87F35" w14:textId="77777777" w:rsidR="00050B2C" w:rsidRDefault="00050B2C" w:rsidP="00050B2C">
      <w:pPr>
        <w:jc w:val="both"/>
      </w:pPr>
      <w:r w:rsidRPr="003506E6">
        <w:t>–</w:t>
      </w:r>
      <w:r>
        <w:t xml:space="preserve"> Widzimy, że duża reforma programu wprowadzona w ubiegłym roku efektywnie ograniczyła nadużycia i podniosła jakość dofinansowanych inwestycji. Teraz, po szerokich konsultacjach społecznych, wprowadzamy pakiet ułatwień.</w:t>
      </w:r>
      <w:r w:rsidRPr="003506E6">
        <w:t xml:space="preserve"> </w:t>
      </w:r>
      <w:r>
        <w:t xml:space="preserve">Pamiętajmy, że Czyste Powietrze to nie tylko statystyki, tylko realne inwestycje na lata, zaś </w:t>
      </w:r>
      <w:r w:rsidRPr="000644BB">
        <w:rPr>
          <w:rFonts w:ascii="Aptos" w:hAnsi="Aptos"/>
        </w:rPr>
        <w:t>bezpieczeństwo beneficjentów to fundament naszego programu</w:t>
      </w:r>
      <w:r w:rsidRPr="000644BB">
        <w:t xml:space="preserve"> </w:t>
      </w:r>
      <w:r w:rsidRPr="003506E6">
        <w:t xml:space="preserve">– </w:t>
      </w:r>
      <w:r w:rsidRPr="00B92897">
        <w:t xml:space="preserve">mówi Robert Gajda, </w:t>
      </w:r>
      <w:r>
        <w:t>Z</w:t>
      </w:r>
      <w:r w:rsidRPr="00B92897">
        <w:t xml:space="preserve">astępca </w:t>
      </w:r>
      <w:r>
        <w:t>P</w:t>
      </w:r>
      <w:r w:rsidRPr="00B92897">
        <w:t xml:space="preserve">rezesa Zarządu NFOŚiGW. – </w:t>
      </w:r>
      <w:r>
        <w:t>Jednocześnie</w:t>
      </w:r>
      <w:r w:rsidRPr="003506E6">
        <w:t xml:space="preserve"> pracujemy nad kolejnymi rozwiązaniami, takimi jak bon na audyt energetyczny</w:t>
      </w:r>
      <w:r>
        <w:t>, który zostanie poddany dodatkowym, szczegółowym konsultacjom z samorządami, naszymi partnerami w programie – dodaje.</w:t>
      </w:r>
    </w:p>
    <w:p w14:paraId="6264F117" w14:textId="77777777" w:rsidR="00050B2C" w:rsidRPr="00527754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Łatwiejszy dostęp do dotacji dla części właścicieli nieruchomości</w:t>
      </w:r>
    </w:p>
    <w:p w14:paraId="5581DB37" w14:textId="77777777" w:rsidR="00050B2C" w:rsidRPr="00527754" w:rsidRDefault="00050B2C" w:rsidP="00050B2C">
      <w:pPr>
        <w:tabs>
          <w:tab w:val="num" w:pos="720"/>
        </w:tabs>
        <w:jc w:val="both"/>
      </w:pPr>
      <w:r w:rsidRPr="000F6276">
        <w:t>Jedną z najważniejszych zmian jest rozszerzenie wyjątków od obowiązującej zasady posiadania nieruchomości przez co najmniej 3 lata przed złożeniem wniosku o dofinansowanie. Z programu będą mogły skorzystać również osoby, które nabyły nieruchomość przez zasiedzenie, a także właściciele lub współwłaściciele nieruchomości od co najmniej roku, którzy nabyli minimum 50 proc. udziałów w drodze zakupu lub darowizny od rodziców lub dziadków. Dzięki temu z programu łatwiej będą mogli skorzystać m.in. nowi właściciele starszych domów wymagających termomodernizacji.</w:t>
      </w:r>
    </w:p>
    <w:p w14:paraId="71C3C157" w14:textId="77777777" w:rsidR="00050B2C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Wyższe dotacje na termomodernizację</w:t>
      </w:r>
    </w:p>
    <w:p w14:paraId="7DDD2A2D" w14:textId="77777777" w:rsidR="00050B2C" w:rsidRDefault="00050B2C" w:rsidP="00050B2C">
      <w:pPr>
        <w:tabs>
          <w:tab w:val="num" w:pos="720"/>
        </w:tabs>
        <w:jc w:val="both"/>
      </w:pPr>
      <w:r w:rsidRPr="00527754">
        <w:t>O</w:t>
      </w:r>
      <w:r>
        <w:t xml:space="preserve"> </w:t>
      </w:r>
      <w:r w:rsidRPr="00527754">
        <w:t>10 proc. wzrosną maksymalne jednostkowe kwoty dotacji na:</w:t>
      </w:r>
      <w:r>
        <w:t xml:space="preserve"> </w:t>
      </w:r>
      <w:r w:rsidRPr="00527754">
        <w:t>ocieplenie ścian</w:t>
      </w:r>
      <w:r>
        <w:t xml:space="preserve"> </w:t>
      </w:r>
      <w:r w:rsidRPr="00527754">
        <w:t>i innych przegród budowlanych</w:t>
      </w:r>
      <w:r>
        <w:t xml:space="preserve"> oraz </w:t>
      </w:r>
      <w:r w:rsidRPr="00527754">
        <w:t>wymianę okien,</w:t>
      </w:r>
      <w:r>
        <w:t xml:space="preserve"> </w:t>
      </w:r>
      <w:r w:rsidRPr="00527754">
        <w:t>drzwi zewnętrznych</w:t>
      </w:r>
      <w:r>
        <w:t xml:space="preserve"> i </w:t>
      </w:r>
      <w:r w:rsidRPr="00527754">
        <w:t>bram garażowych.</w:t>
      </w:r>
      <w:r>
        <w:t xml:space="preserve"> </w:t>
      </w:r>
      <w:r w:rsidRPr="00527754">
        <w:t xml:space="preserve">Podwyżka jest </w:t>
      </w:r>
      <w:r w:rsidRPr="00527754">
        <w:lastRenderedPageBreak/>
        <w:t>odpowiedzią na wzrost kosztów realizacji inwestycji w ostatni</w:t>
      </w:r>
      <w:r>
        <w:t>m czasie</w:t>
      </w:r>
      <w:r w:rsidRPr="00527754">
        <w:t>.</w:t>
      </w:r>
      <w:r>
        <w:t xml:space="preserve"> </w:t>
      </w:r>
      <w:r w:rsidRPr="00150115">
        <w:t>Poprzedziła ją analiza danych GUS, ofert rynkowych oraz kosztów wynikających z wypłaconych i bieżących wniosków o płatność.</w:t>
      </w:r>
    </w:p>
    <w:p w14:paraId="28A7FF0E" w14:textId="77777777" w:rsidR="00050B2C" w:rsidRPr="00527754" w:rsidRDefault="00050B2C" w:rsidP="00050B2C">
      <w:pPr>
        <w:tabs>
          <w:tab w:val="num" w:pos="720"/>
        </w:tabs>
        <w:jc w:val="both"/>
      </w:pPr>
      <w:r w:rsidRPr="000F6276">
        <w:t>Nowe limity obejmują m.in.</w:t>
      </w:r>
      <w:r>
        <w:t>:</w:t>
      </w:r>
      <w:r w:rsidRPr="000F6276">
        <w:t xml:space="preserve"> ocieplenie ścian – do 275 zł/m², stolarkę okienną – do 1320 zł/m², stolarkę drzwiową – do 2750 zł/m² (w najwyższym poziomie dofinansowania). Analogicznie zwiększono maksymalne kwoty w podstawowym i podwyższonym poziomie dofinansowania.</w:t>
      </w:r>
    </w:p>
    <w:p w14:paraId="4FF0758E" w14:textId="77777777" w:rsidR="00050B2C" w:rsidRPr="00527754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Więcej czasu na zakończenie inwestycji</w:t>
      </w:r>
    </w:p>
    <w:p w14:paraId="56DAAEA3" w14:textId="77777777" w:rsidR="00050B2C" w:rsidRDefault="00050B2C" w:rsidP="00050B2C">
      <w:pPr>
        <w:jc w:val="both"/>
      </w:pPr>
      <w:r w:rsidRPr="003E75C1">
        <w:t>Beneficjenci korzystający z prefinansowania</w:t>
      </w:r>
      <w:r>
        <w:t xml:space="preserve">, od 20 lipca </w:t>
      </w:r>
      <w:r w:rsidRPr="003E75C1">
        <w:t xml:space="preserve">będą mieli więcej czasu na </w:t>
      </w:r>
      <w:r>
        <w:t xml:space="preserve">realizację prac objętych </w:t>
      </w:r>
      <w:r w:rsidRPr="003E75C1">
        <w:t>zalicz</w:t>
      </w:r>
      <w:r>
        <w:t xml:space="preserve">ką </w:t>
      </w:r>
      <w:r w:rsidRPr="003E75C1">
        <w:t>– termin zostanie wydłużony z</w:t>
      </w:r>
      <w:r>
        <w:t>e</w:t>
      </w:r>
      <w:r w:rsidRPr="003E75C1">
        <w:t xml:space="preserve"> 120 do 180 dni</w:t>
      </w:r>
      <w:r>
        <w:t xml:space="preserve">. Z tego rozwiązania będą mogli skorzystać również ci, którzy mają już podpisane umowy w naborze od 31 marca 2025 r. (konieczna będzie zmiana zawartej umowy). </w:t>
      </w:r>
    </w:p>
    <w:p w14:paraId="1E6A8C31" w14:textId="77777777" w:rsidR="00050B2C" w:rsidRPr="00527754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Prostsze potwierdzanie wykonania inwestycji</w:t>
      </w:r>
    </w:p>
    <w:p w14:paraId="7890F9A1" w14:textId="77777777" w:rsidR="00050B2C" w:rsidRPr="00527754" w:rsidRDefault="00050B2C" w:rsidP="00050B2C">
      <w:pPr>
        <w:tabs>
          <w:tab w:val="num" w:pos="720"/>
        </w:tabs>
        <w:jc w:val="both"/>
      </w:pPr>
      <w:r>
        <w:t>D</w:t>
      </w:r>
      <w:r w:rsidRPr="003E75C1">
        <w:t>okumenty potwierdzające trwałe odłączenie starego źródła ciepła oraz dostosowanie przewodów kominowych będą mogli wystawiać nie tylko mistrzowie kominiarscy, ale również osoby posiadające odpowiednie uprawnienia budowlane. Rozwiązanie ułatwi i przyspieszy rozliczanie inwestycji.</w:t>
      </w:r>
    </w:p>
    <w:p w14:paraId="6CC5A0C7" w14:textId="77777777" w:rsidR="00050B2C" w:rsidRPr="00527754" w:rsidRDefault="00050B2C" w:rsidP="00050B2C">
      <w:pPr>
        <w:jc w:val="both"/>
        <w:rPr>
          <w:b/>
          <w:bCs/>
        </w:rPr>
      </w:pPr>
      <w:r w:rsidRPr="00527754">
        <w:rPr>
          <w:b/>
          <w:bCs/>
        </w:rPr>
        <w:t>Pozostałe zmiany od 20 lipca</w:t>
      </w:r>
    </w:p>
    <w:p w14:paraId="74B5E5E8" w14:textId="77777777" w:rsidR="00050B2C" w:rsidRDefault="00050B2C" w:rsidP="00050B2C">
      <w:pPr>
        <w:jc w:val="both"/>
      </w:pPr>
      <w:r>
        <w:t xml:space="preserve">Pakiet zmian obejmuje również m.in. wprowadzenie </w:t>
      </w:r>
      <w:r w:rsidRPr="00527754">
        <w:t>możliwoś</w:t>
      </w:r>
      <w:r>
        <w:t>ci</w:t>
      </w:r>
      <w:r w:rsidRPr="00527754">
        <w:t xml:space="preserve"> przygotowania przez beneficjentów korzystających z </w:t>
      </w:r>
      <w:r>
        <w:t xml:space="preserve">pomocy </w:t>
      </w:r>
      <w:r w:rsidRPr="00527754">
        <w:t>operatorów roboczych wersji wniosków w Generatorze Wniosków o Dofinansowanie</w:t>
      </w:r>
      <w:r>
        <w:t xml:space="preserve"> (GWD) oraz doprecyzowanie </w:t>
      </w:r>
      <w:r w:rsidRPr="00527754">
        <w:t>możliwości uzyskania dotacji na urządzenia znajdujące się na liście ZUM w dniu wystawienia faktury zaliczkowej</w:t>
      </w:r>
      <w:r>
        <w:t>.</w:t>
      </w:r>
    </w:p>
    <w:p w14:paraId="0141D99D" w14:textId="77777777" w:rsidR="00050B2C" w:rsidRPr="00527754" w:rsidRDefault="00050B2C" w:rsidP="00050B2C">
      <w:pPr>
        <w:jc w:val="both"/>
        <w:rPr>
          <w:b/>
          <w:bCs/>
        </w:rPr>
      </w:pPr>
      <w:r w:rsidRPr="00983191">
        <w:rPr>
          <w:b/>
          <w:bCs/>
        </w:rPr>
        <w:t>Zmiany dotyczące urządzeń grzewczych</w:t>
      </w:r>
    </w:p>
    <w:p w14:paraId="564617E7" w14:textId="77777777" w:rsidR="00050B2C" w:rsidRPr="00527754" w:rsidRDefault="00050B2C" w:rsidP="00050B2C">
      <w:pPr>
        <w:jc w:val="both"/>
      </w:pPr>
      <w:r w:rsidRPr="00527754">
        <w:t>Po zakończeniu okresu przejściowego, czyli po 2026 r., program nie będzie już wspierał ogrzewania elektrycznego innego niż pompy ciepła. Oznacza to koncentrację wsparcia na rozwiązaniach zapewniających najwyższą efektywność energetyczną i najlepsze efekty ekologiczne.</w:t>
      </w:r>
    </w:p>
    <w:p w14:paraId="5A0FD7C7" w14:textId="77777777" w:rsidR="00050B2C" w:rsidRDefault="00050B2C" w:rsidP="00050B2C">
      <w:pPr>
        <w:jc w:val="both"/>
        <w:rPr>
          <w:b/>
          <w:bCs/>
        </w:rPr>
      </w:pPr>
      <w:r>
        <w:rPr>
          <w:b/>
          <w:bCs/>
        </w:rPr>
        <w:t>F</w:t>
      </w:r>
      <w:r w:rsidRPr="00092C44">
        <w:rPr>
          <w:b/>
          <w:bCs/>
        </w:rPr>
        <w:t>undament</w:t>
      </w:r>
      <w:r>
        <w:rPr>
          <w:b/>
          <w:bCs/>
        </w:rPr>
        <w:t xml:space="preserve">y reformy </w:t>
      </w:r>
      <w:r w:rsidRPr="00092C44">
        <w:rPr>
          <w:b/>
          <w:bCs/>
        </w:rPr>
        <w:t>programu</w:t>
      </w:r>
      <w:r>
        <w:rPr>
          <w:b/>
          <w:bCs/>
        </w:rPr>
        <w:t xml:space="preserve"> bez zmian</w:t>
      </w:r>
    </w:p>
    <w:p w14:paraId="2CD5D0F3" w14:textId="77777777" w:rsidR="00050B2C" w:rsidRPr="00F117E9" w:rsidRDefault="00050B2C" w:rsidP="00050B2C">
      <w:pPr>
        <w:jc w:val="both"/>
      </w:pPr>
      <w:r>
        <w:t>Reforma programu, obowiązująca od 31 marca 2025 r., uporządkowała zasady wsparcia i wprowadziła rozwiązania zwiększające bezpieczeństwo beneficjentów. Nadal obowiązują m.in. obowiązkowy audyt energetyczny, świadectwo charakterystyki energetycznej, system operatorów, limity kosztów kwalifikowanych, zasada „jeden beneficjent – jeden budynek”, brak dofinansowania do kotłów gazowych oraz dotyc</w:t>
      </w:r>
      <w:r w:rsidRPr="00F117E9">
        <w:t>hczasowe poziomy dofinansowania i kryteria dochodowe.</w:t>
      </w:r>
    </w:p>
    <w:p w14:paraId="21BDC415" w14:textId="77777777" w:rsidR="00050B2C" w:rsidRPr="00F117E9" w:rsidRDefault="00050B2C" w:rsidP="00050B2C">
      <w:pPr>
        <w:jc w:val="both"/>
        <w:rPr>
          <w:b/>
          <w:bCs/>
        </w:rPr>
      </w:pPr>
      <w:r w:rsidRPr="00F117E9">
        <w:rPr>
          <w:b/>
          <w:bCs/>
        </w:rPr>
        <w:t>Program potrzebny bardziej niż kiedykolwiek</w:t>
      </w:r>
    </w:p>
    <w:p w14:paraId="08183040" w14:textId="77777777" w:rsidR="00050B2C" w:rsidRPr="00F117E9" w:rsidRDefault="00050B2C" w:rsidP="00050B2C">
      <w:pPr>
        <w:jc w:val="both"/>
      </w:pPr>
      <w:r w:rsidRPr="00F117E9">
        <w:t xml:space="preserve">Od 2018 r. Czyste Powietrze pozostaje największym w historii Polski programem wsparcia termomodernizacji domów jednorodzinnych. Pod nadzorem Ministerstwa Klimatu i Środowiska program wdraża Narodowy Fundusz Ochrony Środowiska i Gospodarki Wodnej (NFOŚiGW), który </w:t>
      </w:r>
      <w:r w:rsidRPr="00F117E9">
        <w:lastRenderedPageBreak/>
        <w:t xml:space="preserve">odpowiada za przygotowanie zasad, w tym dokumentacji i wytycznych, pozyskuje również – we współpracy z odpowiednimi resortami – źródła na finansowanie programu. Z kolei wojewódzkie fundusze ochrony środowiska i gospodarki wodnej (WFOŚiGW) jako odrębne, niezależne od NFOŚiGW jednostki, zajmują się przyjmowaniem, rozpatrywaniem, rozliczaniem wniosków o dofinansowanie i wypłatą środków w programie na terenie swoich województw. </w:t>
      </w:r>
    </w:p>
    <w:p w14:paraId="22FFB9D4" w14:textId="77777777" w:rsidR="00050B2C" w:rsidRPr="00F117E9" w:rsidRDefault="00050B2C" w:rsidP="00050B2C">
      <w:pPr>
        <w:jc w:val="both"/>
      </w:pPr>
      <w:r w:rsidRPr="00F117E9">
        <w:t xml:space="preserve">W programie Czyste Powietrze zawarto dotychczas 971 tys. umów o dofinansowanie, z czego zakończono ponad 645 tys. Dotychczas w programie wypłacono łącznie prawie 22 mld zł, z czego ponad połowę w ostatnich dwóch latach. </w:t>
      </w:r>
    </w:p>
    <w:p w14:paraId="4788C4CB" w14:textId="77777777" w:rsidR="00050B2C" w:rsidRPr="00F117E9" w:rsidRDefault="00050B2C" w:rsidP="00050B2C">
      <w:pPr>
        <w:jc w:val="both"/>
      </w:pPr>
      <w:r w:rsidRPr="00F117E9">
        <w:t>W nowej odsłonie programu obowiązującej od 31 marca 2025 r. przyjęto 70 tys. wniosków</w:t>
      </w:r>
      <w:r>
        <w:t xml:space="preserve">, </w:t>
      </w:r>
      <w:r w:rsidRPr="00F117E9">
        <w:t xml:space="preserve">podpisano 53 tys. umów na 3,3 mld zł. Obecny program z budżetem 10 mld zł finansowany jest ze środków Funduszu Modernizacyjnego. </w:t>
      </w:r>
    </w:p>
    <w:p w14:paraId="64F28439" w14:textId="77777777" w:rsidR="00050B2C" w:rsidRPr="00F117E9" w:rsidRDefault="00050B2C" w:rsidP="00050B2C">
      <w:pPr>
        <w:jc w:val="both"/>
      </w:pPr>
      <w:r w:rsidRPr="00F117E9">
        <w:t>Program realizowany jest we współpracy z samorządami – w gminach działa ponad 2 tys. punktów konsultacyjno-informacyjnych oraz ponad 1,4 tys. gmin-operatorów, a ok. 44% nowych wniosków składanych jest z ich udziałem.</w:t>
      </w:r>
    </w:p>
    <w:p w14:paraId="46C76ECD" w14:textId="77777777" w:rsidR="00050B2C" w:rsidRDefault="00050B2C" w:rsidP="00050B2C">
      <w:pPr>
        <w:jc w:val="both"/>
      </w:pPr>
      <w:r w:rsidRPr="00F117E9">
        <w:t xml:space="preserve">Dzięki programowi </w:t>
      </w:r>
      <w:r>
        <w:t xml:space="preserve">do tej pory </w:t>
      </w:r>
      <w:r w:rsidRPr="00F117E9">
        <w:t>wymieniono ponad 603 tys. nieefektywnych źródeł ciepła, tzw. kopciuchów, których użytkowanie jest głównym powodem smogu w Polsce. Program Czyste Powietrze pozostaje potrzebny i będzie nadal rozwijany, aby skuteczniej wspierać termomodernizację domów i poprawę jakości powietrza.</w:t>
      </w:r>
    </w:p>
    <w:p w14:paraId="6BF27E1E" w14:textId="77777777" w:rsidR="00050B2C" w:rsidRPr="00DE69F5" w:rsidRDefault="00050B2C" w:rsidP="00050B2C">
      <w:pPr>
        <w:jc w:val="both"/>
      </w:pPr>
      <w:hyperlink r:id="rId7" w:history="1">
        <w:r w:rsidRPr="00377ACD">
          <w:rPr>
            <w:rStyle w:val="Hipercze"/>
          </w:rPr>
          <w:t>czystepowietrze.gov.pl</w:t>
        </w:r>
      </w:hyperlink>
    </w:p>
    <w:p w14:paraId="38629EBB" w14:textId="77777777" w:rsidR="00050B2C" w:rsidRPr="00050B2C" w:rsidRDefault="00050B2C" w:rsidP="00050B2C">
      <w:pPr>
        <w:jc w:val="both"/>
      </w:pPr>
    </w:p>
    <w:p w14:paraId="21F54DB1" w14:textId="77777777" w:rsidR="00050B2C" w:rsidRDefault="00050B2C" w:rsidP="00597EAA"/>
    <w:p w14:paraId="6CAC92FD" w14:textId="77777777" w:rsidR="0087135D" w:rsidRDefault="0087135D" w:rsidP="00597EAA"/>
    <w:p w14:paraId="614F2545" w14:textId="77777777" w:rsidR="00597EAA" w:rsidRPr="00597EAA" w:rsidRDefault="00597EAA" w:rsidP="00597EAA"/>
    <w:p w14:paraId="59023B79" w14:textId="77777777" w:rsidR="00597EAA" w:rsidRPr="00597EAA" w:rsidRDefault="00597EAA" w:rsidP="00597EAA"/>
    <w:p w14:paraId="1B710C1F" w14:textId="6D450DC2" w:rsidR="00597EAA" w:rsidRPr="00597EAA" w:rsidRDefault="00597EAA" w:rsidP="00597EAA">
      <w:pPr>
        <w:tabs>
          <w:tab w:val="left" w:pos="1392"/>
        </w:tabs>
      </w:pPr>
      <w:r>
        <w:tab/>
      </w:r>
    </w:p>
    <w:p w14:paraId="12EA9ED8" w14:textId="19D065C4" w:rsidR="00597EAA" w:rsidRPr="00597EAA" w:rsidRDefault="00597EAA" w:rsidP="00597EAA">
      <w:pPr>
        <w:tabs>
          <w:tab w:val="left" w:pos="4044"/>
        </w:tabs>
      </w:pPr>
    </w:p>
    <w:sectPr w:rsidR="00597EAA" w:rsidRPr="00597EAA" w:rsidSect="00597EAA">
      <w:headerReference w:type="default" r:id="rId8"/>
      <w:footerReference w:type="default" r:id="rId9"/>
      <w:pgSz w:w="11906" w:h="16838"/>
      <w:pgMar w:top="1417" w:right="1417" w:bottom="1417" w:left="1417" w:header="0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956C" w14:textId="77777777" w:rsidR="006B5D2D" w:rsidRDefault="006B5D2D">
      <w:pPr>
        <w:spacing w:after="0" w:line="240" w:lineRule="auto"/>
      </w:pPr>
      <w:r>
        <w:separator/>
      </w:r>
    </w:p>
  </w:endnote>
  <w:endnote w:type="continuationSeparator" w:id="0">
    <w:p w14:paraId="69422DC1" w14:textId="77777777" w:rsidR="006B5D2D" w:rsidRDefault="006B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610461"/>
      <w:docPartObj>
        <w:docPartGallery w:val="Page Numbers (Bottom of Page)"/>
        <w:docPartUnique/>
      </w:docPartObj>
    </w:sdtPr>
    <w:sdtContent>
      <w:p w14:paraId="26FBB528" w14:textId="1E24F347" w:rsidR="00766EB1" w:rsidRDefault="00597EAA" w:rsidP="00597EAA">
        <w:pPr>
          <w:pStyle w:val="Stopka"/>
          <w:jc w:val="center"/>
        </w:pPr>
        <w:r w:rsidRPr="00597EAA">
          <w:rPr>
            <w:noProof/>
          </w:rPr>
          <w:drawing>
            <wp:inline distT="0" distB="0" distL="0" distR="0" wp14:anchorId="039B0266" wp14:editId="48040095">
              <wp:extent cx="5760720" cy="1386205"/>
              <wp:effectExtent l="0" t="0" r="0" b="4445"/>
              <wp:docPr id="970762520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138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7E02" w14:textId="77777777" w:rsidR="006B5D2D" w:rsidRDefault="006B5D2D">
      <w:pPr>
        <w:spacing w:after="0" w:line="240" w:lineRule="auto"/>
      </w:pPr>
      <w:r>
        <w:separator/>
      </w:r>
    </w:p>
  </w:footnote>
  <w:footnote w:type="continuationSeparator" w:id="0">
    <w:p w14:paraId="157D2510" w14:textId="77777777" w:rsidR="006B5D2D" w:rsidRDefault="006B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D978" w14:textId="50AC1082" w:rsidR="00597EAA" w:rsidRPr="00597EAA" w:rsidRDefault="00597EAA" w:rsidP="00597EAA">
    <w:pPr>
      <w:pStyle w:val="Nagwek"/>
    </w:pPr>
    <w:r w:rsidRPr="00597EAA">
      <w:rPr>
        <w:noProof/>
      </w:rPr>
      <w:drawing>
        <wp:inline distT="0" distB="0" distL="0" distR="0" wp14:anchorId="7AE96F55" wp14:editId="04F5E7C2">
          <wp:extent cx="5760720" cy="1332230"/>
          <wp:effectExtent l="0" t="0" r="0" b="1270"/>
          <wp:docPr id="7559259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2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20BD1"/>
    <w:multiLevelType w:val="hybridMultilevel"/>
    <w:tmpl w:val="05B40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52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B1"/>
    <w:rsid w:val="00050B2C"/>
    <w:rsid w:val="00340B6D"/>
    <w:rsid w:val="00390433"/>
    <w:rsid w:val="00597EAA"/>
    <w:rsid w:val="00656373"/>
    <w:rsid w:val="006B5D2D"/>
    <w:rsid w:val="00766EB1"/>
    <w:rsid w:val="0087135D"/>
    <w:rsid w:val="00914AD9"/>
    <w:rsid w:val="00AE2954"/>
    <w:rsid w:val="00C20767"/>
    <w:rsid w:val="00D511D4"/>
    <w:rsid w:val="00E67A19"/>
    <w:rsid w:val="00F6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EE38C"/>
  <w15:chartTrackingRefBased/>
  <w15:docId w15:val="{F493E630-2E82-4E85-BFC3-F6EF74D6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EB1"/>
  </w:style>
  <w:style w:type="paragraph" w:styleId="Nagwek1">
    <w:name w:val="heading 1"/>
    <w:basedOn w:val="Normalny"/>
    <w:next w:val="Normalny"/>
    <w:link w:val="Nagwek1Znak"/>
    <w:uiPriority w:val="9"/>
    <w:qFormat/>
    <w:rsid w:val="00766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E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E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E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E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E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E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E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6E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E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E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EB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6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EB1"/>
  </w:style>
  <w:style w:type="paragraph" w:styleId="Nagwek">
    <w:name w:val="header"/>
    <w:basedOn w:val="Normalny"/>
    <w:link w:val="NagwekZnak"/>
    <w:uiPriority w:val="99"/>
    <w:unhideWhenUsed/>
    <w:rsid w:val="0059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AA"/>
  </w:style>
  <w:style w:type="paragraph" w:styleId="NormalnyWeb">
    <w:name w:val="Normal (Web)"/>
    <w:basedOn w:val="Normalny"/>
    <w:uiPriority w:val="99"/>
    <w:semiHidden/>
    <w:unhideWhenUsed/>
    <w:rsid w:val="00597EAA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50B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zystepowietrz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1048</Words>
  <Characters>5738</Characters>
  <Application>Microsoft Office Word</Application>
  <DocSecurity>0</DocSecurity>
  <Lines>124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Bieniecka-Popardowska Donata</dc:creator>
  <cp:keywords/>
  <dc:description/>
  <cp:lastModifiedBy>Bieniecka-Popardowska Donata</cp:lastModifiedBy>
  <cp:revision>2</cp:revision>
  <dcterms:created xsi:type="dcterms:W3CDTF">2026-07-13T12:29:00Z</dcterms:created>
  <dcterms:modified xsi:type="dcterms:W3CDTF">2026-07-13T12:29:00Z</dcterms:modified>
</cp:coreProperties>
</file>